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145</w:t>
      </w:r>
    </w:p>
    <w:p>
      <w:r>
        <w:t>Bundesgericht (BGE), 1996-03-11, IT</w:t>
      </w:r>
    </w:p>
    <w:p>
      <w:r>
        <w:rPr>
          <w:b/>
        </w:rPr>
        <w:t xml:space="preserve">Quelle: </w:t>
      </w:r>
      <w:r>
        <w:t>https://mcp.opencaselaw.ch/entscheid/bge_122 III 145</w:t>
      </w:r>
    </w:p>
    <w:p>
      <w:r>
        <w:t>FR: ATF 122 III 145</w:t>
      </w:r>
    </w:p>
    <w:p>
      <w:r>
        <w:t>IT: DTF 122 III 145</w:t>
      </w:r>
    </w:p>
    <w:p>
      <w:pPr>
        <w:pStyle w:val="Heading2"/>
      </w:pPr>
      <w:r>
        <w:t>Regeste</w:t>
      </w:r>
    </w:p>
    <w:p>
      <w:r>
        <w:t>Regeste Stockwerkeigentum: Abtretung von Sondernutzungsrechten an Parkplätzen an einzelne Miteigentümer (Art. 712b Abs. 2 Ziff. 1 und 712g in Verbindung mit Art. 648 ZGB und 164 OR). Rechte an Parkplätzen: Sondernutzungsrecht und ausschliessliches Recht (E. 3). Ein Sondernutzungsrecht mit realobligatorischem Charakter, das einem Eigentümer einer Stockwerkeigentumseinheit zusteht, kann unter Vorbehalt einer abweichenden Vereinbarung einem anderen Miteigentümer ohne die Zustimmung der Stockwerkeigentümerversammlung abgetreten werden (E. 4).</w:t>
      </w:r>
    </w:p>
    <w:p>
      <w:pPr>
        <w:pStyle w:val="Heading2"/>
      </w:pPr>
      <w:r>
        <w:t>Erwägungen</w:t>
      </w:r>
    </w:p>
    <w:p>
      <w:r>
        <w:rPr>
          <w:b/>
        </w:rPr>
        <w:t>E. 3</w:t>
      </w:r>
    </w:p>
    <w:p>
      <w:r>
        <w:t>a) I posteggi all'aperto non possono essere oggetto di un diritto esclusivo dal momento ch'essi costituiscono imperativamente parti comuni in BGE 122 III 145 S. 147 virtù dell' art. 712b cpv. 2 n. 1 CC (PAUL-HENRI STEINAUER, Questions choisies en rapport avec la propriété par étages, in Revue valaisanne de jurisprudence, 25/1991 pag. 285 segg., in particolare 291; ARTHUR MEIER-HAYOZ/HEINZ REY, Commentario bernese, vol. IV/1/5, 1988, n. 56 ad art. 712b CC ; ROLF H. WEBER, Die Stockwerkeigentümergemeinschaft, tesi Zurigo 1979, pag. 169; DIETER ZOBL, Rechtsfragen zur Sondernutzung von Autoabstellplätzen bei Stockwerkeigentum, in Mélanges Jacques-Michel Grossen, 1992, pag. 285 segg., in particolare 285; JEAN RUEDIN, Fragen um Autoabstellplätze, in Diggelmann/Kunz/Peter-Ruetschi, Aktuelles Stockwerkeigentum, 1984, pag. 162 segg., in particolare pag. 163). I posteggi coperti possono essere oggetto di un diritto esclusivo soltanto se costituiscono un tutto ( art. 712b cpv. 1 CC ), ossia unicamente se essi sono isolati gli uni dagli altri mediante muri o per lo meno con grate che possono essere chiuse (STEINAUER, loc.cit., pag. 293; MEIER-HAYOZ/REY, loc.cit.; WEBER, op.cit., pag. 118; ZOBL, loc.cit.; RUEDIN, loc.cit.). b) Nella realtà accade spesso che il promotore di uno stabile destinato a proprietà per piani si riservi, all'atto della costituzione della PPP, parecchi diritti di posteggio in uso particolare, che trasferirà poi a seconda delle richieste degli interessati e di regola mediante controprestazione, al momento della vendita delle singole unità di PPP. Il diritto d'uso particolare sul posteggio viene così determinato all'atto della vendita di ogni singola unità di PPP. Secondo la dottrina non occorre che all'atto della costituzione della PPP tutti questi diritti d'uso particolare siano attribuiti a un'unità di PPP, come in concreto avvenuto, ma basta che tale facoltà venga prevista nel regolamento (ZOBL, op.cit., pag. 292 n. 4; WEBER, op.cit., pag. 182). Un siffatto sistema permette di tener conto, man mano che si procede alla vendita delle singole unità di PPP, dei bisogni individuali degli acquirenti (WEBER, loc.cit.); ciò ha come conseguenza, tuttavia, che tutti i posteggi non ancora assegnati il giorno della vendita dell'ultima unità di PPP rimangono, come nella presente fattispecie, all'acquirente di tale unità condominiale.</w:t>
      </w:r>
    </w:p>
    <w:p>
      <w:r>
        <w:rPr>
          <w:b/>
        </w:rPr>
        <w:t>E. 4</w:t>
      </w:r>
    </w:p>
    <w:p>
      <w:r>
        <w:t>a) Il Tribunale federale non ha invece ancora avuto occasione di decidere se un diritto d'uso particolare possa essere ceduto anche da un singolo comproprietario e, all'occorrenza, se una cessione del genere richieda il consenso dell'assemblea dei comproprietari. In DTF 115 II 340 esso ha lasciato aperta la questione di sapere se, per principio, un comproprietario possa cedere un tale diritto a terzi estranei alla comunione dei condomini senza la contemporanea alienazione allo stesso BGE 122 III 145 S. 148 soggetto giuridico della propria quota di comproprietà. Ha nondimeno sottolineato che un'operazione del genere non potrebbe avvenire senza il permesso dell'assemblea dei comproprietari. Si tratta infatti di evitare che terzi estranei alla comunione dei comproprietari possano acquisire diritti con efficacia reale da esercitare su parti comuni mediante l'accordo di un solo condomino. In effetti, secondo l' art. 648 cpv. 2 CC , occorre l'assenso di tutti per costituire tali diritti, a meno che i comproprietari abbiano unanimemente stabilito un'altra disciplina (consid. 2c). b) I diritti d'uso particolare sono diritti d'utilizzazione su una parte comune che hanno una funzione esclusiva nei confronti degli altri comproprietari non autorizzati; questi sono tenuti, sulla base di un'obbligazione personale, a rispettare il diritto d'uso particolare e a permetterne l'utilizzazione prevista (MEIER-HAYOZ/REY, op.cit., n. 45 ad art. 712g CC ). I diritti d'uso particolare non sono dei diritti reali, ma diritti personali rafforzati, poiché fissati nel regolamento di una comproprietà e risultando, pertanto, nei loro effetti, assai simili ai diritti reali (MEIER-HAYOZ/REY, op.cit., n. 46 ad art. 712g CC ; ZOBL, op.cit., pag. 290 nota a piè di pagina n. 29; HANS-PETER FRIEDRICH, Das Stockwerkeigentum, Reglement für die Gemeinschaft der Stockwerkeigentümer, 2a ed. 1972, pag. 54). Quando, come nella fattispecie concreta, la titolarità di un diritto d'uso particolare è stabilita in relazione alla proprietà di taluna o talaltra unità di PPP, si è in presenza di un'obbligazione reale, o un'obbligazione propter rem (WEBER, op.cit., pag. 190). In caso di trasferimento del diritto reale di cui la titolarità determina il beneficiario di un diritto personale propter rem, la cessione di questo non risulta dagli art. 164 segg. CO, poiché il credito propter rem, in quel caso, segue il diritto reale (EUGEN SPIRIG, Commentario zurighese, vol. V/1k, 1993, premessa ad art. 164-174, n. 219; EUGEN BUCHER, Schweizerisches Obligationenrecht, Allgemeiner Teil, 2a ed. 1988, pag. 536). Gli art. 164 segg. CO sono applicabili, per contro, in caso di cessione di un credito propter rem senza trasferimento del diritto reale al quale questo è collegato. c) Secondo l' art. 164 cpv. 1 CO , il creditore può cedere ad altri il suo credito anche senza il consenso del debitore, se non vi osta la legge, la convenzione o la natura del rapporto giuridico. Nessuna norma legale impedisce la cessione tra comproprietari per piani di un diritto d'uso particolare su una parte comune. Nemmeno dagli accertamenti dell'autorità cantonale risulta che una tale cessione sia vietata dal regolamento per BGE 122 III 145 S. 149 l'amministrazione e l'uso della proprietà per piani. Occorre quindi esaminare se una tale cessione è esclusa dalla natura del rapporto giuridico. Secondo la giurisprudenza, la cessione di un diritto senza il consenso del debitore è vietata con riferimento a quest'ultimo aspetto qualora il credito sia intensamente legato alla persona del creditore, la cui sostituzione implicherebbe un cambiamento del carattere, del contenuto o dello scopo dell'obbligazione; in particolare la cessione è esclusa quando il cambiamento del creditore comporta un aggravio della posizione del debitore ( DTF 109 II 445 e riferimenti; cfr. SPIRIG, op.cit., n. 161 ad art. 164). Un diritto d'uso particolare concesso al proprietario di una specifica unità condominiale su una parte comune ha come unico effetto di escluderne - nella misura fissata dall'estensione di questo diritto - l'utilizzazione da parte degli altri comproprietari, in deroga all' art. 648 cpv. 1 CC . Un cambiamento della titolarità di un tale diritto nell'ambito della comunità della PPP non modifica né la natura, né il contenuto, né lo scopo dell'obbligazione degli altri membri della comunione dei comproprietari per piani; questi rimangono esclusi nella stessa misura dall'uso particolare riservato al solo comproprietario autorizzato (cfr. la decisione del "Bundesgerichtshof" del 24 novembre 1978 citata da WEBER, op.cit., pag. 171 seg.). La circostanza che la cessione di un diritto d'uso particolare a un altro comproprietario potrebbe perturbare l'equilibrio all'interno della comunione dei comproprietari (cfr. ZOBL, op.cit., pag. 290 nota a piè di pagina n. 29) non è decisiva. In effetti, se è vero che la comproprietà per piani presenta, oltre a una componente reale, anche una componente personale o comunitaria (MEIER-HAYOZ/REY, op.cit., premessa ad art. 712a-712t, n. 43), è altrettanto vero che la sua funzione si limita alla disposizione, all'utilizzazione, all'amministrazione e al mantenimento del valore economico del bene immobile comune (MEIER-HAYOZ/REY, op.cit., premessa ad art. 712a-712t, n. 50). Il vincolo istituito dalla legge tra i comproprietari per piani non è così stretto da implicare l'approvazione dell'assemblea dei comproprietari di ogni atto idoneo a modificare l'equilibrio all'interno della comunione. Inoltre, contrariamente all'alienazione parziale di un'unità condominiale, che presuppone necessariamente - dato il legame indissolubile tra la quota di comproprietà e il diritto esclusivo - l'alienazione simultanea di una quota di comproprietà (MEIER-HAYOZ/REY, op.cit., n. 32 ad art. 712e; WEBER, op.cit., pag. 156), la cessione di un diritto d'uso particolare di natura BGE 122 III 145 S. 150 personale non richiede l'alienazione di una quota di comproprietà. Pertanto, essa non comporta imperativamente una modificazione delle quote di valore che richiederebbe, per la sua validità, oltre al consenso di tutti gli interessati diretti, l'approvazione dell'assemblea dei comproprietari ( art. 712e cpv. 2 CC ). d) Da queste considerazioni discende che il proprietario di un'unità condominiale titolare, propter rem, di un diritto d'uso particolare su una parte comune può cedere questo diritto a un comproprietario per piani senza il consenso dell'assemblea dei comproprietari, salvo convenzione contraria. Una cessione del genere non è vietata né dalla legge, né dalla natura dei rapporti tra comproprietari per piani. È quindi a torto che la Corte cantonale ha accolto la petizione dell'attrice e ordinato all'Ufficiale dei registri di Bellinzona di cancellare dai fogli delle singole quote di PPP del fondo base n. XX RFD di Bellinzona le menzioni relative ai diritti d'uso particolare sui posteggi. La sentenza impugnata deve quindi essere riformata nel senso che la petizione è respinta. Diventa di conseguenza superfluo esaminare le ulteriori censure sollevate dalla ricorrente, segnatamente quelle inerenti all'asserita carenza della legittimazione attiva dell'attrice e all'abuso di diritto della stessa.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